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9B" w:rsidRPr="00C26A32" w:rsidRDefault="000919B6">
      <w:pPr>
        <w:rPr>
          <w:b/>
          <w:sz w:val="21"/>
          <w:szCs w:val="21"/>
        </w:rPr>
      </w:pPr>
      <w:r w:rsidRPr="00C26A32">
        <w:rPr>
          <w:b/>
          <w:sz w:val="21"/>
          <w:szCs w:val="21"/>
        </w:rPr>
        <w:t>Lancashire Skills</w:t>
      </w:r>
      <w:r w:rsidR="00CA3E54">
        <w:rPr>
          <w:b/>
          <w:sz w:val="21"/>
          <w:szCs w:val="21"/>
        </w:rPr>
        <w:t xml:space="preserve"> &amp; Employment</w:t>
      </w:r>
      <w:r w:rsidRPr="00C26A32">
        <w:rPr>
          <w:b/>
          <w:sz w:val="21"/>
          <w:szCs w:val="21"/>
        </w:rPr>
        <w:t xml:space="preserve"> Hub</w:t>
      </w:r>
      <w:r w:rsidR="00183151">
        <w:rPr>
          <w:b/>
          <w:sz w:val="21"/>
          <w:szCs w:val="21"/>
        </w:rPr>
        <w:tab/>
      </w:r>
      <w:r w:rsidR="00183151">
        <w:rPr>
          <w:b/>
          <w:sz w:val="21"/>
          <w:szCs w:val="21"/>
        </w:rPr>
        <w:tab/>
      </w:r>
      <w:r w:rsidR="00183151">
        <w:rPr>
          <w:b/>
          <w:sz w:val="21"/>
          <w:szCs w:val="21"/>
        </w:rPr>
        <w:tab/>
      </w:r>
      <w:r w:rsidR="00183151">
        <w:rPr>
          <w:b/>
          <w:sz w:val="21"/>
          <w:szCs w:val="21"/>
        </w:rPr>
        <w:tab/>
      </w:r>
      <w:r w:rsidR="00183151">
        <w:rPr>
          <w:b/>
          <w:sz w:val="21"/>
          <w:szCs w:val="21"/>
        </w:rPr>
        <w:tab/>
      </w:r>
      <w:r w:rsidR="00183151">
        <w:rPr>
          <w:b/>
          <w:sz w:val="21"/>
          <w:szCs w:val="21"/>
        </w:rPr>
        <w:tab/>
      </w:r>
      <w:r w:rsidR="00183151">
        <w:rPr>
          <w:b/>
          <w:sz w:val="21"/>
          <w:szCs w:val="21"/>
        </w:rPr>
        <w:tab/>
        <w:t xml:space="preserve">     </w:t>
      </w:r>
      <w:r w:rsidR="00183151" w:rsidRPr="00183151">
        <w:rPr>
          <w:rFonts w:ascii="Arial" w:hAnsi="Arial" w:cs="Arial"/>
          <w:b/>
          <w:sz w:val="28"/>
          <w:szCs w:val="28"/>
        </w:rPr>
        <w:t>Appendix A</w:t>
      </w:r>
    </w:p>
    <w:p w:rsidR="000919B6" w:rsidRPr="00C26A32" w:rsidRDefault="000919B6">
      <w:pPr>
        <w:rPr>
          <w:b/>
          <w:sz w:val="21"/>
          <w:szCs w:val="21"/>
        </w:rPr>
      </w:pPr>
      <w:r w:rsidRPr="00C26A32">
        <w:rPr>
          <w:b/>
          <w:sz w:val="21"/>
          <w:szCs w:val="21"/>
        </w:rPr>
        <w:t>Purpose</w:t>
      </w:r>
    </w:p>
    <w:p w:rsidR="000919B6" w:rsidRPr="00C26A32" w:rsidRDefault="000919B6">
      <w:pPr>
        <w:rPr>
          <w:sz w:val="21"/>
          <w:szCs w:val="21"/>
        </w:rPr>
      </w:pPr>
      <w:r w:rsidRPr="00C26A32">
        <w:rPr>
          <w:sz w:val="21"/>
          <w:szCs w:val="21"/>
        </w:rPr>
        <w:t xml:space="preserve">To </w:t>
      </w:r>
      <w:r w:rsidR="00DF1F73" w:rsidRPr="00C26A32">
        <w:rPr>
          <w:sz w:val="21"/>
          <w:szCs w:val="21"/>
        </w:rPr>
        <w:t>support</w:t>
      </w:r>
      <w:r w:rsidRPr="00C26A32">
        <w:rPr>
          <w:sz w:val="21"/>
          <w:szCs w:val="21"/>
        </w:rPr>
        <w:t xml:space="preserve"> the Lancashire Skills</w:t>
      </w:r>
      <w:r w:rsidR="00E877A2">
        <w:rPr>
          <w:sz w:val="21"/>
          <w:szCs w:val="21"/>
        </w:rPr>
        <w:t xml:space="preserve"> &amp; Employment</w:t>
      </w:r>
      <w:r w:rsidRPr="00C26A32">
        <w:rPr>
          <w:sz w:val="21"/>
          <w:szCs w:val="21"/>
        </w:rPr>
        <w:t xml:space="preserve"> Board</w:t>
      </w:r>
      <w:r w:rsidR="00DF1F73" w:rsidRPr="00C26A32">
        <w:rPr>
          <w:sz w:val="21"/>
          <w:szCs w:val="21"/>
        </w:rPr>
        <w:t xml:space="preserve"> to discharge its duties</w:t>
      </w:r>
      <w:r w:rsidRPr="00C26A32">
        <w:rPr>
          <w:sz w:val="21"/>
          <w:szCs w:val="21"/>
        </w:rPr>
        <w:t xml:space="preserve"> and in doing so facilitate/enable a better balanced, skilled and inclusive labour market which underpins and contributes to economic well-being and growth across the County.</w:t>
      </w:r>
      <w:r w:rsidR="005126F2" w:rsidRPr="00C26A32">
        <w:rPr>
          <w:sz w:val="21"/>
          <w:szCs w:val="21"/>
        </w:rPr>
        <w:t xml:space="preserve">  The Skills</w:t>
      </w:r>
      <w:r w:rsidR="00E877A2">
        <w:rPr>
          <w:sz w:val="21"/>
          <w:szCs w:val="21"/>
        </w:rPr>
        <w:t xml:space="preserve"> &amp; Employment</w:t>
      </w:r>
      <w:r w:rsidR="005126F2" w:rsidRPr="00C26A32">
        <w:rPr>
          <w:sz w:val="21"/>
          <w:szCs w:val="21"/>
        </w:rPr>
        <w:t xml:space="preserve"> Hub is a strategic unit not a delivery organisation.</w:t>
      </w:r>
    </w:p>
    <w:p w:rsidR="000919B6" w:rsidRPr="00C26A32" w:rsidRDefault="000919B6">
      <w:pPr>
        <w:rPr>
          <w:b/>
          <w:sz w:val="21"/>
          <w:szCs w:val="21"/>
        </w:rPr>
      </w:pPr>
      <w:r w:rsidRPr="00C26A32">
        <w:rPr>
          <w:b/>
          <w:sz w:val="21"/>
          <w:szCs w:val="21"/>
        </w:rPr>
        <w:t>Key Objectives</w:t>
      </w:r>
    </w:p>
    <w:p w:rsidR="000919B6" w:rsidRPr="00C26A32" w:rsidRDefault="000919B6" w:rsidP="000919B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 xml:space="preserve">To </w:t>
      </w:r>
      <w:r w:rsidR="00E877A2">
        <w:rPr>
          <w:sz w:val="21"/>
          <w:szCs w:val="21"/>
        </w:rPr>
        <w:t>maintain</w:t>
      </w:r>
      <w:r w:rsidRPr="00C26A32">
        <w:rPr>
          <w:sz w:val="21"/>
          <w:szCs w:val="21"/>
        </w:rPr>
        <w:t xml:space="preserve"> a robust evidence base for Lancashire and a Skills and Employment</w:t>
      </w:r>
      <w:r w:rsidR="00DA5BE2" w:rsidRPr="00C26A32">
        <w:rPr>
          <w:sz w:val="21"/>
          <w:szCs w:val="21"/>
        </w:rPr>
        <w:t xml:space="preserve"> Strategic</w:t>
      </w:r>
      <w:r w:rsidRPr="00C26A32">
        <w:rPr>
          <w:sz w:val="21"/>
          <w:szCs w:val="21"/>
        </w:rPr>
        <w:t xml:space="preserve"> Framework which will drive a balanced, skilled and inclusive labour market.</w:t>
      </w:r>
    </w:p>
    <w:p w:rsidR="00E03FEA" w:rsidRPr="00C26A32" w:rsidRDefault="000919B6" w:rsidP="0066473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>To consult and gain stakeholder</w:t>
      </w:r>
      <w:r w:rsidR="00033515" w:rsidRPr="00C26A32">
        <w:rPr>
          <w:rStyle w:val="FootnoteReference"/>
          <w:sz w:val="21"/>
          <w:szCs w:val="21"/>
        </w:rPr>
        <w:footnoteReference w:id="1"/>
      </w:r>
      <w:r w:rsidR="00033515" w:rsidRPr="00C26A32">
        <w:rPr>
          <w:sz w:val="21"/>
          <w:szCs w:val="21"/>
        </w:rPr>
        <w:t xml:space="preserve"> </w:t>
      </w:r>
      <w:r w:rsidRPr="00C26A32">
        <w:rPr>
          <w:sz w:val="21"/>
          <w:szCs w:val="21"/>
        </w:rPr>
        <w:t>ownership of the Skills and Employment Framework and allied action</w:t>
      </w:r>
      <w:r w:rsidR="002B3C56" w:rsidRPr="00C26A32">
        <w:rPr>
          <w:sz w:val="21"/>
          <w:szCs w:val="21"/>
        </w:rPr>
        <w:t>s</w:t>
      </w:r>
      <w:r w:rsidRPr="00C26A32">
        <w:rPr>
          <w:sz w:val="21"/>
          <w:szCs w:val="21"/>
        </w:rPr>
        <w:t>, and facilitate and monitor implementation.</w:t>
      </w:r>
    </w:p>
    <w:p w:rsidR="00E03FEA" w:rsidRPr="00C26A32" w:rsidRDefault="000919B6" w:rsidP="0061693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>To use the Skills and Employment Framework and rel</w:t>
      </w:r>
      <w:r w:rsidR="000E30B0" w:rsidRPr="00C26A32">
        <w:rPr>
          <w:sz w:val="21"/>
          <w:szCs w:val="21"/>
        </w:rPr>
        <w:t xml:space="preserve">ated intelligence to influence and prioritise </w:t>
      </w:r>
      <w:r w:rsidRPr="00C26A32">
        <w:rPr>
          <w:sz w:val="21"/>
          <w:szCs w:val="21"/>
        </w:rPr>
        <w:t>the use of relevant mainstream and discretionary funding</w:t>
      </w:r>
      <w:r w:rsidR="00DA5BE2" w:rsidRPr="00C26A32">
        <w:rPr>
          <w:sz w:val="21"/>
          <w:szCs w:val="21"/>
        </w:rPr>
        <w:t>, policy and reviews</w:t>
      </w:r>
      <w:r w:rsidR="00794B6F" w:rsidRPr="00C26A32">
        <w:rPr>
          <w:sz w:val="21"/>
          <w:szCs w:val="21"/>
        </w:rPr>
        <w:t>.</w:t>
      </w:r>
      <w:r w:rsidR="00DA5BE2" w:rsidRPr="00C26A32">
        <w:rPr>
          <w:sz w:val="21"/>
          <w:szCs w:val="21"/>
        </w:rPr>
        <w:t xml:space="preserve">  For example:</w:t>
      </w:r>
    </w:p>
    <w:p w:rsidR="00E03FEA" w:rsidRPr="00C26A32" w:rsidRDefault="00DA5BE2" w:rsidP="00E03FEA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 xml:space="preserve">The </w:t>
      </w:r>
      <w:r w:rsidR="00456CBF" w:rsidRPr="00C26A32">
        <w:rPr>
          <w:sz w:val="21"/>
          <w:szCs w:val="21"/>
        </w:rPr>
        <w:t>Lancashire E</w:t>
      </w:r>
      <w:r w:rsidR="00A64C26" w:rsidRPr="00C26A32">
        <w:rPr>
          <w:sz w:val="21"/>
          <w:szCs w:val="21"/>
        </w:rPr>
        <w:t xml:space="preserve">uropean </w:t>
      </w:r>
      <w:r w:rsidR="00456CBF" w:rsidRPr="00C26A32">
        <w:rPr>
          <w:sz w:val="21"/>
          <w:szCs w:val="21"/>
        </w:rPr>
        <w:t>S</w:t>
      </w:r>
      <w:r w:rsidR="00A64C26" w:rsidRPr="00C26A32">
        <w:rPr>
          <w:sz w:val="21"/>
          <w:szCs w:val="21"/>
        </w:rPr>
        <w:t>tructural Investment Fund (ESIF)</w:t>
      </w:r>
      <w:r w:rsidR="00456CBF" w:rsidRPr="00C26A32">
        <w:rPr>
          <w:sz w:val="21"/>
          <w:szCs w:val="21"/>
        </w:rPr>
        <w:t xml:space="preserve"> strategy and allocation of funding, in particular E</w:t>
      </w:r>
      <w:r w:rsidR="00A64C26" w:rsidRPr="00C26A32">
        <w:rPr>
          <w:sz w:val="21"/>
          <w:szCs w:val="21"/>
        </w:rPr>
        <w:t xml:space="preserve">uropean </w:t>
      </w:r>
      <w:r w:rsidR="00456CBF" w:rsidRPr="00C26A32">
        <w:rPr>
          <w:sz w:val="21"/>
          <w:szCs w:val="21"/>
        </w:rPr>
        <w:t>S</w:t>
      </w:r>
      <w:r w:rsidR="00A64C26" w:rsidRPr="00C26A32">
        <w:rPr>
          <w:sz w:val="21"/>
          <w:szCs w:val="21"/>
        </w:rPr>
        <w:t xml:space="preserve">ocial </w:t>
      </w:r>
      <w:r w:rsidR="00456CBF" w:rsidRPr="00C26A32">
        <w:rPr>
          <w:sz w:val="21"/>
          <w:szCs w:val="21"/>
        </w:rPr>
        <w:t>F</w:t>
      </w:r>
      <w:r w:rsidR="00A64C26" w:rsidRPr="00C26A32">
        <w:rPr>
          <w:sz w:val="21"/>
          <w:szCs w:val="21"/>
        </w:rPr>
        <w:t>unds (ESF)</w:t>
      </w:r>
      <w:r w:rsidR="00456CBF" w:rsidRPr="00C26A32">
        <w:rPr>
          <w:sz w:val="21"/>
          <w:szCs w:val="21"/>
        </w:rPr>
        <w:t>.</w:t>
      </w:r>
    </w:p>
    <w:p w:rsidR="00456CBF" w:rsidRPr="00E877A2" w:rsidRDefault="00E877A2" w:rsidP="00E03FE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877A2">
        <w:rPr>
          <w:sz w:val="21"/>
          <w:szCs w:val="21"/>
        </w:rPr>
        <w:t>Driving the development of the skills and employment offer, maximising the impact of policy reforms (for example, technical education).</w:t>
      </w:r>
    </w:p>
    <w:p w:rsidR="00456CBF" w:rsidRPr="00C26A32" w:rsidRDefault="00456CBF" w:rsidP="00E03FEA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>Prioritisation of skills capital allocations via Growth Deal.</w:t>
      </w:r>
    </w:p>
    <w:p w:rsidR="00456CBF" w:rsidRPr="00C26A32" w:rsidRDefault="00456CBF" w:rsidP="00AA5BC5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>Asks of Government in the context of the</w:t>
      </w:r>
      <w:r w:rsidR="00E877A2">
        <w:rPr>
          <w:sz w:val="21"/>
          <w:szCs w:val="21"/>
        </w:rPr>
        <w:t xml:space="preserve"> Industrial Strategy,</w:t>
      </w:r>
      <w:r w:rsidRPr="00C26A32">
        <w:rPr>
          <w:sz w:val="21"/>
          <w:szCs w:val="21"/>
        </w:rPr>
        <w:t xml:space="preserve"> Northern Powerhouse</w:t>
      </w:r>
      <w:r w:rsidR="00E877A2">
        <w:rPr>
          <w:sz w:val="21"/>
          <w:szCs w:val="21"/>
        </w:rPr>
        <w:t xml:space="preserve"> Partnership</w:t>
      </w:r>
      <w:r w:rsidRPr="00C26A32">
        <w:rPr>
          <w:sz w:val="21"/>
          <w:szCs w:val="21"/>
        </w:rPr>
        <w:t xml:space="preserve"> and the devolution agenda.</w:t>
      </w:r>
    </w:p>
    <w:p w:rsidR="00456CBF" w:rsidRPr="00C26A32" w:rsidRDefault="00794B6F" w:rsidP="00AA6810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 xml:space="preserve">To be a hub of intelligence in regard to relevant policy and labour market intelligence (LMI) for local stakeholders and to influence and position Lancashire </w:t>
      </w:r>
      <w:r w:rsidR="00B14D3D" w:rsidRPr="00C26A32">
        <w:rPr>
          <w:sz w:val="21"/>
          <w:szCs w:val="21"/>
        </w:rPr>
        <w:t>in the L</w:t>
      </w:r>
      <w:r w:rsidR="00A64C26" w:rsidRPr="00C26A32">
        <w:rPr>
          <w:sz w:val="21"/>
          <w:szCs w:val="21"/>
        </w:rPr>
        <w:t xml:space="preserve">ocal </w:t>
      </w:r>
      <w:r w:rsidR="00B14D3D" w:rsidRPr="00C26A32">
        <w:rPr>
          <w:sz w:val="21"/>
          <w:szCs w:val="21"/>
        </w:rPr>
        <w:t>E</w:t>
      </w:r>
      <w:r w:rsidR="00A64C26" w:rsidRPr="00C26A32">
        <w:rPr>
          <w:sz w:val="21"/>
          <w:szCs w:val="21"/>
        </w:rPr>
        <w:t xml:space="preserve">nterprise </w:t>
      </w:r>
      <w:r w:rsidR="00B14D3D" w:rsidRPr="00C26A32">
        <w:rPr>
          <w:sz w:val="21"/>
          <w:szCs w:val="21"/>
        </w:rPr>
        <w:t>P</w:t>
      </w:r>
      <w:r w:rsidR="00A64C26" w:rsidRPr="00C26A32">
        <w:rPr>
          <w:sz w:val="21"/>
          <w:szCs w:val="21"/>
        </w:rPr>
        <w:t>artnership (LEP)</w:t>
      </w:r>
      <w:r w:rsidR="00B14D3D" w:rsidRPr="00C26A32">
        <w:rPr>
          <w:sz w:val="21"/>
          <w:szCs w:val="21"/>
        </w:rPr>
        <w:t xml:space="preserve"> network and </w:t>
      </w:r>
      <w:r w:rsidRPr="00C26A32">
        <w:rPr>
          <w:sz w:val="21"/>
          <w:szCs w:val="21"/>
        </w:rPr>
        <w:t>nationally.</w:t>
      </w:r>
    </w:p>
    <w:p w:rsidR="00456CBF" w:rsidRPr="00C26A32" w:rsidRDefault="00794B6F" w:rsidP="0086080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>To be a catalyst for improving supply side capacity and responsiveness, instigating innovation and the development of new products and services</w:t>
      </w:r>
      <w:r w:rsidR="00A64C26" w:rsidRPr="00C26A32">
        <w:rPr>
          <w:sz w:val="21"/>
          <w:szCs w:val="21"/>
        </w:rPr>
        <w:t xml:space="preserve"> (delivered by providers)</w:t>
      </w:r>
      <w:r w:rsidRPr="00C26A32">
        <w:rPr>
          <w:sz w:val="21"/>
          <w:szCs w:val="21"/>
        </w:rPr>
        <w:t>.</w:t>
      </w:r>
      <w:bookmarkStart w:id="0" w:name="_GoBack"/>
      <w:bookmarkEnd w:id="0"/>
    </w:p>
    <w:p w:rsidR="00794B6F" w:rsidRPr="00C26A32" w:rsidRDefault="00DF1F73" w:rsidP="000919B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26A32">
        <w:rPr>
          <w:sz w:val="21"/>
          <w:szCs w:val="21"/>
        </w:rPr>
        <w:t>To facilitate</w:t>
      </w:r>
      <w:r w:rsidR="00794B6F" w:rsidRPr="00C26A32">
        <w:rPr>
          <w:sz w:val="21"/>
          <w:szCs w:val="21"/>
        </w:rPr>
        <w:t xml:space="preserve"> a coherent 'umbrella' of marketing and communications activities </w:t>
      </w:r>
      <w:r w:rsidR="002B3C56" w:rsidRPr="00C26A32">
        <w:rPr>
          <w:sz w:val="21"/>
          <w:szCs w:val="21"/>
        </w:rPr>
        <w:t>(</w:t>
      </w:r>
      <w:r w:rsidR="00794B6F" w:rsidRPr="00C26A32">
        <w:rPr>
          <w:sz w:val="21"/>
          <w:szCs w:val="21"/>
        </w:rPr>
        <w:t xml:space="preserve">which add value </w:t>
      </w:r>
      <w:r w:rsidR="002B3C56" w:rsidRPr="00C26A32">
        <w:rPr>
          <w:sz w:val="21"/>
          <w:szCs w:val="21"/>
        </w:rPr>
        <w:t>to individual provider activity</w:t>
      </w:r>
      <w:r w:rsidR="00031DF0" w:rsidRPr="00C26A32">
        <w:rPr>
          <w:sz w:val="21"/>
          <w:szCs w:val="21"/>
        </w:rPr>
        <w:t xml:space="preserve"> and which align with the</w:t>
      </w:r>
      <w:r w:rsidR="0089611C" w:rsidRPr="00C26A32">
        <w:rPr>
          <w:sz w:val="21"/>
          <w:szCs w:val="21"/>
        </w:rPr>
        <w:t xml:space="preserve"> local</w:t>
      </w:r>
      <w:r w:rsidR="00031DF0" w:rsidRPr="00C26A32">
        <w:rPr>
          <w:sz w:val="21"/>
          <w:szCs w:val="21"/>
        </w:rPr>
        <w:t xml:space="preserve"> Growth Hub – 'Boost'</w:t>
      </w:r>
      <w:r w:rsidR="002B3C56" w:rsidRPr="00C26A32">
        <w:rPr>
          <w:sz w:val="21"/>
          <w:szCs w:val="21"/>
        </w:rPr>
        <w:t>) and drive</w:t>
      </w:r>
      <w:r w:rsidR="00794B6F" w:rsidRPr="00C26A32">
        <w:rPr>
          <w:sz w:val="21"/>
          <w:szCs w:val="21"/>
        </w:rPr>
        <w:t xml:space="preserve"> the engagement of employers and learners.</w:t>
      </w:r>
    </w:p>
    <w:p w:rsidR="006E46B7" w:rsidRPr="00C26A32" w:rsidRDefault="00E877A2" w:rsidP="006E46B7">
      <w:pPr>
        <w:ind w:left="360"/>
        <w:rPr>
          <w:b/>
          <w:sz w:val="21"/>
          <w:szCs w:val="21"/>
        </w:rPr>
      </w:pPr>
      <w:r>
        <w:rPr>
          <w:b/>
          <w:sz w:val="21"/>
          <w:szCs w:val="21"/>
        </w:rPr>
        <w:t>Focus for 2016/17</w:t>
      </w:r>
    </w:p>
    <w:p w:rsidR="006E46B7" w:rsidRPr="00C26A32" w:rsidRDefault="00E877A2" w:rsidP="006E46B7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Evidence based updated and </w:t>
      </w:r>
      <w:r w:rsidR="006E46B7" w:rsidRPr="00C26A32">
        <w:rPr>
          <w:sz w:val="21"/>
          <w:szCs w:val="21"/>
        </w:rPr>
        <w:t xml:space="preserve">Skills and Employment Framework </w:t>
      </w:r>
      <w:r>
        <w:rPr>
          <w:sz w:val="21"/>
          <w:szCs w:val="21"/>
        </w:rPr>
        <w:t>refreshed, following the refresh</w:t>
      </w:r>
      <w:r w:rsidR="003A2F1E">
        <w:rPr>
          <w:sz w:val="21"/>
          <w:szCs w:val="21"/>
        </w:rPr>
        <w:t xml:space="preserve"> of the Strategic Economic Plan, including the development of a Technical Education vision and strategy.</w:t>
      </w:r>
    </w:p>
    <w:p w:rsidR="006E46B7" w:rsidRDefault="00E877A2" w:rsidP="006E46B7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Oversight of </w:t>
      </w:r>
      <w:r w:rsidR="003A2F1E">
        <w:rPr>
          <w:sz w:val="21"/>
          <w:szCs w:val="21"/>
        </w:rPr>
        <w:t>contracted ESF activity</w:t>
      </w:r>
      <w:r>
        <w:rPr>
          <w:sz w:val="21"/>
          <w:szCs w:val="21"/>
        </w:rPr>
        <w:t xml:space="preserve">, </w:t>
      </w:r>
      <w:r w:rsidR="003A2F1E">
        <w:rPr>
          <w:sz w:val="21"/>
          <w:szCs w:val="21"/>
        </w:rPr>
        <w:t xml:space="preserve">including </w:t>
      </w:r>
      <w:r>
        <w:rPr>
          <w:sz w:val="21"/>
          <w:szCs w:val="21"/>
        </w:rPr>
        <w:t>implementation and embedding of the Skills Escalator</w:t>
      </w:r>
      <w:r w:rsidR="003A2F1E">
        <w:rPr>
          <w:sz w:val="21"/>
          <w:szCs w:val="21"/>
        </w:rPr>
        <w:t>, to maximise impact on learners and businesses.  Prioritisation of remaining ESF funding (subject to guidance from DWP).</w:t>
      </w:r>
    </w:p>
    <w:p w:rsidR="003A2F1E" w:rsidRDefault="003A2F1E" w:rsidP="006E46B7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Oversight of contracted Growth Deal skills capital and delivery of outputs and outcomes, working with the Growth Deal Programme Team.</w:t>
      </w:r>
    </w:p>
    <w:p w:rsidR="00CC2690" w:rsidRPr="00C26A32" w:rsidRDefault="00CC2690" w:rsidP="006E46B7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Implementation of the Lancashire Apprenticeship Plan.</w:t>
      </w:r>
    </w:p>
    <w:p w:rsidR="006E46B7" w:rsidRDefault="003A2F1E" w:rsidP="006E46B7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Development and implementation of post-ABR</w:t>
      </w:r>
      <w:r w:rsidR="00630147">
        <w:rPr>
          <w:sz w:val="21"/>
          <w:szCs w:val="21"/>
        </w:rPr>
        <w:t xml:space="preserve"> non-structural recommendations and the</w:t>
      </w:r>
      <w:r>
        <w:rPr>
          <w:sz w:val="21"/>
          <w:szCs w:val="21"/>
        </w:rPr>
        <w:t xml:space="preserve"> collaborative action plan.</w:t>
      </w:r>
    </w:p>
    <w:p w:rsidR="003A2F1E" w:rsidRPr="00C26A32" w:rsidRDefault="003A2F1E" w:rsidP="006E46B7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Oversight of the Lancashire Enterprise Adviser Network and the inspiration agenda in schools and colleges, aligning activity with the imminent Careers Strategy, and driving </w:t>
      </w:r>
      <w:r w:rsidR="00CC2690">
        <w:rPr>
          <w:sz w:val="21"/>
          <w:szCs w:val="21"/>
        </w:rPr>
        <w:t xml:space="preserve">the </w:t>
      </w:r>
      <w:r>
        <w:rPr>
          <w:sz w:val="21"/>
          <w:szCs w:val="21"/>
        </w:rPr>
        <w:t>aspiration</w:t>
      </w:r>
      <w:r w:rsidR="00CC2690">
        <w:rPr>
          <w:sz w:val="21"/>
          <w:szCs w:val="21"/>
        </w:rPr>
        <w:t xml:space="preserve"> theme</w:t>
      </w:r>
      <w:r>
        <w:rPr>
          <w:sz w:val="21"/>
          <w:szCs w:val="21"/>
        </w:rPr>
        <w:t xml:space="preserve"> in the Blackpool Opportunity Area.</w:t>
      </w:r>
    </w:p>
    <w:p w:rsidR="00033515" w:rsidRDefault="006E46B7" w:rsidP="006E46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C26A32">
        <w:rPr>
          <w:sz w:val="21"/>
          <w:szCs w:val="21"/>
        </w:rPr>
        <w:t>Evidence of marketing and communications activities which have engaged employers.</w:t>
      </w:r>
    </w:p>
    <w:p w:rsidR="009F183F" w:rsidRDefault="009F183F">
      <w:pPr>
        <w:rPr>
          <w:sz w:val="21"/>
          <w:szCs w:val="21"/>
        </w:rPr>
        <w:sectPr w:rsidR="009F183F" w:rsidSect="00C26A32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F183F" w:rsidRDefault="009F183F" w:rsidP="009F183F">
      <w:pPr>
        <w:pStyle w:val="Default"/>
      </w:pPr>
    </w:p>
    <w:p w:rsidR="006E46B7" w:rsidRPr="009F183F" w:rsidRDefault="009F183F" w:rsidP="009F183F">
      <w:pPr>
        <w:rPr>
          <w:b/>
          <w:sz w:val="21"/>
          <w:szCs w:val="21"/>
        </w:rPr>
      </w:pPr>
      <w:r w:rsidRPr="009F183F">
        <w:rPr>
          <w:rFonts w:ascii="Arial" w:hAnsi="Arial" w:cs="Arial"/>
          <w:b/>
          <w:noProof/>
          <w:color w:val="1F497D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725436B" wp14:editId="3B980795">
            <wp:simplePos x="0" y="0"/>
            <wp:positionH relativeFrom="margin">
              <wp:align>center</wp:align>
            </wp:positionH>
            <wp:positionV relativeFrom="margin">
              <wp:posOffset>577153</wp:posOffset>
            </wp:positionV>
            <wp:extent cx="10062210" cy="56597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fographic Dashboard 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210" cy="565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83F">
        <w:rPr>
          <w:b/>
          <w:sz w:val="21"/>
          <w:szCs w:val="21"/>
        </w:rPr>
        <w:t>Dashboard of outcome measures (January 2017)</w:t>
      </w:r>
    </w:p>
    <w:sectPr w:rsidR="006E46B7" w:rsidRPr="009F183F" w:rsidSect="009F183F">
      <w:pgSz w:w="16838" w:h="11906" w:orient="landscape"/>
      <w:pgMar w:top="1077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EB" w:rsidRDefault="00A810EB" w:rsidP="00A810EB">
      <w:pPr>
        <w:spacing w:after="0" w:line="240" w:lineRule="auto"/>
      </w:pPr>
      <w:r>
        <w:separator/>
      </w:r>
    </w:p>
  </w:endnote>
  <w:endnote w:type="continuationSeparator" w:id="0">
    <w:p w:rsidR="00A810EB" w:rsidRDefault="00A810EB" w:rsidP="00A8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EB" w:rsidRDefault="00A810EB" w:rsidP="00A810EB">
      <w:pPr>
        <w:spacing w:after="0" w:line="240" w:lineRule="auto"/>
      </w:pPr>
      <w:r>
        <w:separator/>
      </w:r>
    </w:p>
  </w:footnote>
  <w:footnote w:type="continuationSeparator" w:id="0">
    <w:p w:rsidR="00A810EB" w:rsidRDefault="00A810EB" w:rsidP="00A810EB">
      <w:pPr>
        <w:spacing w:after="0" w:line="240" w:lineRule="auto"/>
      </w:pPr>
      <w:r>
        <w:continuationSeparator/>
      </w:r>
    </w:p>
  </w:footnote>
  <w:footnote w:id="1">
    <w:p w:rsidR="00033515" w:rsidRDefault="00033515">
      <w:pPr>
        <w:pStyle w:val="FootnoteText"/>
      </w:pPr>
      <w:r>
        <w:rPr>
          <w:rStyle w:val="FootnoteReference"/>
        </w:rPr>
        <w:footnoteRef/>
      </w:r>
      <w:r>
        <w:t xml:space="preserve"> Stakeholders include employers, providers (public, private and third sector), representative bodies, Local Authorities and other relevant interested parties.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5B" w:rsidRDefault="00CA3E54" w:rsidP="00CA3E54">
    <w:pPr>
      <w:pStyle w:val="Header"/>
    </w:pPr>
    <w:r>
      <w:rPr>
        <w:noProof/>
        <w:lang w:eastAsia="en-GB"/>
      </w:rPr>
      <w:drawing>
        <wp:inline distT="0" distB="0" distL="0" distR="0" wp14:anchorId="5A2B9677">
          <wp:extent cx="1882066" cy="356067"/>
          <wp:effectExtent l="0" t="0" r="4445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83" cy="368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Helvetica"/>
        <w:noProof/>
        <w:color w:val="005997"/>
        <w:lang w:eastAsia="en-GB"/>
      </w:rPr>
      <w:t xml:space="preserve">                                                                                             </w:t>
    </w:r>
    <w:r>
      <w:rPr>
        <w:rFonts w:cs="Helvetica"/>
        <w:noProof/>
        <w:color w:val="005997"/>
        <w:lang w:eastAsia="en-GB"/>
      </w:rPr>
      <w:drawing>
        <wp:inline distT="0" distB="0" distL="0" distR="0" wp14:anchorId="3E673CF5">
          <wp:extent cx="1347470" cy="365760"/>
          <wp:effectExtent l="0" t="0" r="508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10EB" w:rsidRDefault="00CA3E54">
    <w:pPr>
      <w:pStyle w:val="Header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2DA9"/>
    <w:multiLevelType w:val="hybridMultilevel"/>
    <w:tmpl w:val="C2FCD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BA696B"/>
    <w:multiLevelType w:val="hybridMultilevel"/>
    <w:tmpl w:val="FCA0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B6"/>
    <w:rsid w:val="00031DF0"/>
    <w:rsid w:val="00033515"/>
    <w:rsid w:val="000919B6"/>
    <w:rsid w:val="000B6B06"/>
    <w:rsid w:val="000E30B0"/>
    <w:rsid w:val="00183151"/>
    <w:rsid w:val="00240770"/>
    <w:rsid w:val="00287A70"/>
    <w:rsid w:val="002B3C56"/>
    <w:rsid w:val="003A2F1E"/>
    <w:rsid w:val="00456CBF"/>
    <w:rsid w:val="005126F2"/>
    <w:rsid w:val="005820E0"/>
    <w:rsid w:val="00630147"/>
    <w:rsid w:val="006E46B7"/>
    <w:rsid w:val="00794B6F"/>
    <w:rsid w:val="0089611C"/>
    <w:rsid w:val="0096345B"/>
    <w:rsid w:val="009666F0"/>
    <w:rsid w:val="009F183F"/>
    <w:rsid w:val="00A20AD4"/>
    <w:rsid w:val="00A64C26"/>
    <w:rsid w:val="00A810EB"/>
    <w:rsid w:val="00AE09EE"/>
    <w:rsid w:val="00AE35E3"/>
    <w:rsid w:val="00B14D3D"/>
    <w:rsid w:val="00B63D49"/>
    <w:rsid w:val="00B85EB4"/>
    <w:rsid w:val="00BC289D"/>
    <w:rsid w:val="00C26A32"/>
    <w:rsid w:val="00CA3E54"/>
    <w:rsid w:val="00CC2690"/>
    <w:rsid w:val="00CE157F"/>
    <w:rsid w:val="00CF7B9B"/>
    <w:rsid w:val="00D8309C"/>
    <w:rsid w:val="00DA5BE2"/>
    <w:rsid w:val="00DF1F73"/>
    <w:rsid w:val="00E03FEA"/>
    <w:rsid w:val="00E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7350A8D-3576-4931-91BA-45E222A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EB"/>
  </w:style>
  <w:style w:type="paragraph" w:styleId="Footer">
    <w:name w:val="footer"/>
    <w:basedOn w:val="Normal"/>
    <w:link w:val="FooterChar"/>
    <w:uiPriority w:val="99"/>
    <w:unhideWhenUsed/>
    <w:rsid w:val="00A8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EB"/>
  </w:style>
  <w:style w:type="paragraph" w:styleId="EndnoteText">
    <w:name w:val="endnote text"/>
    <w:basedOn w:val="Normal"/>
    <w:link w:val="EndnoteTextChar"/>
    <w:uiPriority w:val="99"/>
    <w:semiHidden/>
    <w:unhideWhenUsed/>
    <w:rsid w:val="005126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6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26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515"/>
    <w:rPr>
      <w:vertAlign w:val="superscript"/>
    </w:rPr>
  </w:style>
  <w:style w:type="paragraph" w:customStyle="1" w:styleId="Default">
    <w:name w:val="Default"/>
    <w:rsid w:val="009F1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38A2-338F-4330-9111-419C73B1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Lawty-Jones, Michele</dc:creator>
  <cp:keywords/>
  <dc:description/>
  <cp:lastModifiedBy>Tween, Holly</cp:lastModifiedBy>
  <cp:revision>8</cp:revision>
  <dcterms:created xsi:type="dcterms:W3CDTF">2017-10-06T08:19:00Z</dcterms:created>
  <dcterms:modified xsi:type="dcterms:W3CDTF">2017-10-12T08:21:00Z</dcterms:modified>
</cp:coreProperties>
</file>